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7C8285FC" w14:textId="365B080D" w:rsidR="005B35F8" w:rsidRDefault="005B35F8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r w:rsidRPr="00FE75E4">
        <w:rPr>
          <w:rFonts w:ascii="Book Antiqua" w:hAnsi="Book Antiqua"/>
          <w:u w:val="single"/>
        </w:rPr>
        <w:t>Budizol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38755712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5B35F8" w:rsidRPr="005B35F8">
        <w:rPr>
          <w:rFonts w:ascii="Book Antiqua" w:hAnsi="Book Antiqua"/>
          <w:b/>
          <w:u w:val="single"/>
        </w:rPr>
        <w:t>C</w:t>
      </w:r>
      <w:r w:rsidR="001A7A1D">
        <w:rPr>
          <w:rFonts w:ascii="Book Antiqua" w:hAnsi="Book Antiqua"/>
          <w:b/>
          <w:u w:val="single"/>
        </w:rPr>
        <w:t>HEMIA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5B35F8" w:rsidRPr="005B35F8">
        <w:rPr>
          <w:rFonts w:ascii="Book Antiqua" w:hAnsi="Book Antiqua"/>
          <w:u w:val="single"/>
        </w:rPr>
        <w:t>c</w:t>
      </w:r>
      <w:r w:rsidR="001A7A1D">
        <w:rPr>
          <w:rFonts w:ascii="Book Antiqua" w:hAnsi="Book Antiqua"/>
          <w:u w:val="single"/>
        </w:rPr>
        <w:t>hemii do beton</w:t>
      </w:r>
      <w:r w:rsidR="005B35F8" w:rsidRPr="005B35F8">
        <w:rPr>
          <w:rFonts w:ascii="Book Antiqua" w:hAnsi="Book Antiqua"/>
          <w:u w:val="single"/>
        </w:rPr>
        <w:t>u</w:t>
      </w:r>
      <w:r w:rsidR="00015D98">
        <w:rPr>
          <w:rFonts w:ascii="Book Antiqua" w:hAnsi="Book Antiqua"/>
          <w:u w:val="single"/>
        </w:rPr>
        <w:t xml:space="preserve"> w postaci</w:t>
      </w:r>
      <w:r w:rsidR="00616B17">
        <w:rPr>
          <w:rFonts w:ascii="Book Antiqua" w:hAnsi="Book Antiqua"/>
          <w:u w:val="single"/>
        </w:rPr>
        <w:t>:</w:t>
      </w:r>
      <w:r w:rsidR="00015D98">
        <w:rPr>
          <w:rFonts w:ascii="Book Antiqua" w:hAnsi="Book Antiqua"/>
          <w:u w:val="single"/>
        </w:rPr>
        <w:t xml:space="preserve"> superplastyfikatora polimerowego</w:t>
      </w:r>
      <w:r w:rsidR="005B35F8">
        <w:rPr>
          <w:rFonts w:ascii="Book Antiqua" w:hAnsi="Book Antiqua"/>
        </w:rPr>
        <w:t xml:space="preserve"> </w:t>
      </w:r>
      <w:r w:rsidR="00616B17">
        <w:rPr>
          <w:rFonts w:ascii="Book Antiqua" w:hAnsi="Book Antiqua"/>
        </w:rPr>
        <w:t xml:space="preserve">oraz </w:t>
      </w:r>
      <w:r w:rsidR="00616B17" w:rsidRPr="00616B17">
        <w:rPr>
          <w:rFonts w:ascii="Book Antiqua" w:hAnsi="Book Antiqua"/>
          <w:u w:val="single"/>
        </w:rPr>
        <w:t>plastyfikatora</w:t>
      </w:r>
      <w:r w:rsidR="00616B17" w:rsidRPr="00616B17">
        <w:rPr>
          <w:rFonts w:ascii="Book Antiqua" w:hAnsi="Book Antiqua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3BEF349C" w14:textId="77777777" w:rsidR="00AF200B" w:rsidRDefault="00AF200B" w:rsidP="00AF200B">
      <w:pPr>
        <w:pStyle w:val="Akapitzlist"/>
        <w:ind w:left="1080"/>
        <w:jc w:val="both"/>
        <w:rPr>
          <w:rFonts w:ascii="Book Antiqua" w:hAnsi="Book Antiqua"/>
        </w:rPr>
      </w:pPr>
    </w:p>
    <w:p w14:paraId="749BE368" w14:textId="6236B5D0" w:rsidR="00FD24E1" w:rsidRPr="005B35F8" w:rsidRDefault="00FD24E1" w:rsidP="005B35F8">
      <w:pPr>
        <w:jc w:val="both"/>
        <w:rPr>
          <w:rFonts w:ascii="Calibri" w:hAnsi="Calibri" w:cs="Calibri"/>
          <w:szCs w:val="22"/>
        </w:rPr>
      </w:pPr>
      <w:r w:rsidRPr="00484CBD">
        <w:rPr>
          <w:rFonts w:ascii="Book Antiqua" w:hAnsi="Book Antiqua"/>
          <w:b/>
          <w:bCs/>
        </w:rPr>
        <w:t xml:space="preserve">Kod </w:t>
      </w:r>
      <w:r w:rsidRPr="005B35F8">
        <w:rPr>
          <w:rFonts w:asciiTheme="minorHAnsi" w:hAnsiTheme="minorHAnsi" w:cstheme="minorHAnsi"/>
          <w:b/>
          <w:bCs/>
        </w:rPr>
        <w:t xml:space="preserve">CPV: </w:t>
      </w:r>
      <w:r w:rsidR="001A7A1D" w:rsidRPr="001A7A1D">
        <w:rPr>
          <w:rFonts w:asciiTheme="minorHAnsi" w:hAnsiTheme="minorHAnsi" w:cstheme="minorHAnsi"/>
          <w:b/>
          <w:bCs/>
          <w:color w:val="000000"/>
          <w:szCs w:val="22"/>
        </w:rPr>
        <w:t>24 957200-7</w:t>
      </w:r>
      <w:r w:rsidR="00484CBD" w:rsidRPr="005B35F8">
        <w:rPr>
          <w:rFonts w:asciiTheme="minorHAnsi" w:hAnsiTheme="minorHAnsi" w:cstheme="minorHAnsi"/>
          <w:b/>
          <w:bCs/>
        </w:rPr>
        <w:t>,</w:t>
      </w:r>
      <w:r w:rsidR="00484CBD" w:rsidRPr="00484CBD">
        <w:rPr>
          <w:rFonts w:ascii="Book Antiqua" w:hAnsi="Book Antiqua"/>
          <w:b/>
          <w:bCs/>
        </w:rPr>
        <w:t xml:space="preserve">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1A7A1D">
        <w:rPr>
          <w:rFonts w:ascii="Book Antiqua" w:hAnsi="Book Antiqua"/>
          <w:b/>
          <w:bCs/>
        </w:rPr>
        <w:t>D</w:t>
      </w:r>
      <w:r w:rsidR="001A7A1D" w:rsidRPr="001A7A1D">
        <w:rPr>
          <w:rFonts w:ascii="Book Antiqua" w:hAnsi="Book Antiqua"/>
          <w:b/>
          <w:bCs/>
        </w:rPr>
        <w:t>odatki do cement</w:t>
      </w:r>
      <w:r w:rsidR="00D05517">
        <w:rPr>
          <w:rFonts w:ascii="Book Antiqua" w:hAnsi="Book Antiqua"/>
          <w:b/>
          <w:bCs/>
        </w:rPr>
        <w:t>ów</w:t>
      </w:r>
      <w:bookmarkStart w:id="3" w:name="_GoBack"/>
      <w:bookmarkEnd w:id="3"/>
      <w:r w:rsidR="001A7A1D" w:rsidRPr="001A7A1D">
        <w:rPr>
          <w:rFonts w:ascii="Book Antiqua" w:hAnsi="Book Antiqua"/>
          <w:b/>
          <w:bCs/>
        </w:rPr>
        <w:t>, zapraw lub zbrojeń</w:t>
      </w:r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62C213F2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06B74F0A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086BDED" w14:textId="77777777" w:rsidR="005B35F8" w:rsidRPr="008942C9" w:rsidRDefault="005B35F8" w:rsidP="001E5E44">
      <w:pPr>
        <w:jc w:val="both"/>
      </w:pPr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0C614C9D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1AA542E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602579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r w:rsidRPr="00331362">
        <w:rPr>
          <w:rFonts w:ascii="Book Antiqua" w:hAnsi="Book Antiqua"/>
          <w:b/>
          <w:bCs/>
          <w:szCs w:val="22"/>
        </w:rPr>
        <w:t>Budizol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602579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r w:rsidRPr="00667BF6">
        <w:rPr>
          <w:rFonts w:ascii="Book Antiqua" w:hAnsi="Book Antiqua"/>
          <w:b/>
          <w:bCs/>
          <w:szCs w:val="22"/>
        </w:rPr>
        <w:t>Budizol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1. Administratorem Pani/Pana danych jest Budizol</w:t>
      </w:r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5B0A" w14:textId="77777777" w:rsidR="00602579" w:rsidRDefault="00602579" w:rsidP="00B96AC4">
      <w:r>
        <w:separator/>
      </w:r>
    </w:p>
  </w:endnote>
  <w:endnote w:type="continuationSeparator" w:id="0">
    <w:p w14:paraId="7339FDF4" w14:textId="77777777" w:rsidR="00602579" w:rsidRDefault="00602579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602579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5DB6" w14:textId="77777777" w:rsidR="00602579" w:rsidRDefault="00602579" w:rsidP="00B96AC4">
      <w:r>
        <w:separator/>
      </w:r>
    </w:p>
  </w:footnote>
  <w:footnote w:type="continuationSeparator" w:id="0">
    <w:p w14:paraId="4EF9DE20" w14:textId="77777777" w:rsidR="00602579" w:rsidRDefault="00602579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602579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15D98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904F7"/>
    <w:rsid w:val="001A7A1D"/>
    <w:rsid w:val="001B0321"/>
    <w:rsid w:val="001B39A0"/>
    <w:rsid w:val="001D1789"/>
    <w:rsid w:val="001D56B2"/>
    <w:rsid w:val="001E5E44"/>
    <w:rsid w:val="001E7837"/>
    <w:rsid w:val="001F4E4A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B35F8"/>
    <w:rsid w:val="005C6454"/>
    <w:rsid w:val="005D5C49"/>
    <w:rsid w:val="005E2954"/>
    <w:rsid w:val="00602579"/>
    <w:rsid w:val="00603930"/>
    <w:rsid w:val="006039AA"/>
    <w:rsid w:val="00611553"/>
    <w:rsid w:val="006131F3"/>
    <w:rsid w:val="006159AA"/>
    <w:rsid w:val="00616B17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517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491C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370D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29</cp:revision>
  <cp:lastPrinted>2017-04-26T09:51:00Z</cp:lastPrinted>
  <dcterms:created xsi:type="dcterms:W3CDTF">2019-07-10T11:08:00Z</dcterms:created>
  <dcterms:modified xsi:type="dcterms:W3CDTF">2020-02-07T11:40:00Z</dcterms:modified>
</cp:coreProperties>
</file>